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2" w:rsidRDefault="00BF7BB2" w:rsidP="00CD6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10</w:t>
      </w:r>
    </w:p>
    <w:p w:rsidR="00CD6480" w:rsidRDefault="00B52921" w:rsidP="00CD6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D6480">
        <w:rPr>
          <w:rFonts w:ascii="Times New Roman" w:eastAsia="Times New Roman" w:hAnsi="Times New Roman" w:cs="Times New Roman"/>
          <w:b/>
          <w:bCs/>
        </w:rPr>
        <w:t>UN BIOMARCADOR COMBINADO DEL FACTOR DE CRECIMIENTO FIBROBLÁSTICO 23, KLOTHO Y ERITROPOYETINA PREDICE DESARROLLO DE MORBIMORTALIDAD A CORTO/LARGO PLAZO Y ENFERMEDAD RENAL CRÓNICA EN PACIENTES CRÍTICOS</w:t>
      </w:r>
    </w:p>
    <w:p w:rsidR="00CD6480" w:rsidRDefault="00B52921" w:rsidP="00CD648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CD6480">
        <w:rPr>
          <w:rFonts w:ascii="Times New Roman" w:eastAsia="Times New Roman" w:hAnsi="Times New Roman" w:cs="Times New Roman"/>
        </w:rPr>
        <w:t>Luis Toro Cabrera</w:t>
      </w:r>
      <w:r w:rsidRPr="00CD6480">
        <w:rPr>
          <w:rFonts w:ascii="Times New Roman" w:eastAsia="Times New Roman" w:hAnsi="Times New Roman" w:cs="Times New Roman"/>
          <w:vertAlign w:val="superscript"/>
        </w:rPr>
        <w:t>3</w:t>
      </w:r>
      <w:r w:rsidRPr="00CD6480">
        <w:rPr>
          <w:rFonts w:ascii="Times New Roman" w:eastAsia="Times New Roman" w:hAnsi="Times New Roman" w:cs="Times New Roman"/>
        </w:rPr>
        <w:t>, Carlos Romero Patiño</w:t>
      </w:r>
      <w:r w:rsidRPr="00CD6480">
        <w:rPr>
          <w:rFonts w:ascii="Times New Roman" w:eastAsia="Times New Roman" w:hAnsi="Times New Roman" w:cs="Times New Roman"/>
          <w:vertAlign w:val="superscript"/>
        </w:rPr>
        <w:t>1</w:t>
      </w:r>
      <w:r w:rsidRPr="00CD6480">
        <w:rPr>
          <w:rFonts w:ascii="Times New Roman" w:eastAsia="Times New Roman" w:hAnsi="Times New Roman" w:cs="Times New Roman"/>
        </w:rPr>
        <w:t>, Maria Eugenia Pinto Claude</w:t>
      </w:r>
      <w:r w:rsidRPr="00CD6480">
        <w:rPr>
          <w:rFonts w:ascii="Times New Roman" w:eastAsia="Times New Roman" w:hAnsi="Times New Roman" w:cs="Times New Roman"/>
          <w:vertAlign w:val="superscript"/>
        </w:rPr>
        <w:t>2</w:t>
      </w:r>
      <w:r w:rsidRPr="00CD6480">
        <w:rPr>
          <w:rFonts w:ascii="Times New Roman" w:eastAsia="Times New Roman" w:hAnsi="Times New Roman" w:cs="Times New Roman"/>
        </w:rPr>
        <w:t>, Luis Michea Acevedo</w:t>
      </w:r>
      <w:r w:rsidRPr="00CD6480">
        <w:rPr>
          <w:rFonts w:ascii="Times New Roman" w:eastAsia="Times New Roman" w:hAnsi="Times New Roman" w:cs="Times New Roman"/>
          <w:vertAlign w:val="superscript"/>
        </w:rPr>
        <w:t>3</w:t>
      </w:r>
    </w:p>
    <w:p w:rsidR="00641457" w:rsidRPr="00CD6480" w:rsidRDefault="00B52921" w:rsidP="00CD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480">
        <w:rPr>
          <w:rFonts w:ascii="Times New Roman" w:eastAsia="Times New Roman" w:hAnsi="Times New Roman" w:cs="Times New Roman"/>
          <w:vertAlign w:val="superscript"/>
        </w:rPr>
        <w:t>1</w:t>
      </w:r>
      <w:r w:rsidRPr="00CD6480">
        <w:rPr>
          <w:rFonts w:ascii="Times New Roman" w:eastAsia="Times New Roman" w:hAnsi="Times New Roman" w:cs="Times New Roman"/>
        </w:rPr>
        <w:t xml:space="preserve">Unidad de Pacientes Críticos, Hospital </w:t>
      </w:r>
      <w:r w:rsidR="00CD6480" w:rsidRPr="00CD6480">
        <w:rPr>
          <w:rFonts w:ascii="Times New Roman" w:eastAsia="Times New Roman" w:hAnsi="Times New Roman" w:cs="Times New Roman"/>
        </w:rPr>
        <w:t>Clínico</w:t>
      </w:r>
      <w:r w:rsidRPr="00CD6480">
        <w:rPr>
          <w:rFonts w:ascii="Times New Roman" w:eastAsia="Times New Roman" w:hAnsi="Times New Roman" w:cs="Times New Roman"/>
        </w:rPr>
        <w:t xml:space="preserve"> Universidad de Chile, </w:t>
      </w:r>
      <w:r w:rsidRPr="00CD6480">
        <w:rPr>
          <w:rFonts w:ascii="Times New Roman" w:eastAsia="Times New Roman" w:hAnsi="Times New Roman" w:cs="Times New Roman"/>
          <w:vertAlign w:val="superscript"/>
        </w:rPr>
        <w:t>2</w:t>
      </w:r>
      <w:r w:rsidRPr="00CD6480">
        <w:rPr>
          <w:rFonts w:ascii="Times New Roman" w:eastAsia="Times New Roman" w:hAnsi="Times New Roman" w:cs="Times New Roman"/>
        </w:rPr>
        <w:t xml:space="preserve">Laboratorio Central, Hospital </w:t>
      </w:r>
      <w:r w:rsidR="00CD6480" w:rsidRPr="00CD6480">
        <w:rPr>
          <w:rFonts w:ascii="Times New Roman" w:eastAsia="Times New Roman" w:hAnsi="Times New Roman" w:cs="Times New Roman"/>
        </w:rPr>
        <w:t>Clínico</w:t>
      </w:r>
      <w:r w:rsidRPr="00CD6480">
        <w:rPr>
          <w:rFonts w:ascii="Times New Roman" w:eastAsia="Times New Roman" w:hAnsi="Times New Roman" w:cs="Times New Roman"/>
        </w:rPr>
        <w:t xml:space="preserve"> Universidad de Chile, </w:t>
      </w:r>
      <w:r w:rsidRPr="00CD6480">
        <w:rPr>
          <w:rFonts w:ascii="Times New Roman" w:eastAsia="Times New Roman" w:hAnsi="Times New Roman" w:cs="Times New Roman"/>
          <w:vertAlign w:val="superscript"/>
        </w:rPr>
        <w:t>3</w:t>
      </w:r>
      <w:r w:rsidRPr="00CD6480">
        <w:rPr>
          <w:rFonts w:ascii="Times New Roman" w:eastAsia="Times New Roman" w:hAnsi="Times New Roman" w:cs="Times New Roman"/>
        </w:rPr>
        <w:t xml:space="preserve">Sección de Nefrología, Hospital </w:t>
      </w:r>
      <w:r w:rsidR="00CD6480" w:rsidRPr="00CD6480">
        <w:rPr>
          <w:rFonts w:ascii="Times New Roman" w:eastAsia="Times New Roman" w:hAnsi="Times New Roman" w:cs="Times New Roman"/>
        </w:rPr>
        <w:t>Clínico</w:t>
      </w:r>
      <w:r w:rsidRPr="00CD6480">
        <w:rPr>
          <w:rFonts w:ascii="Times New Roman" w:eastAsia="Times New Roman" w:hAnsi="Times New Roman" w:cs="Times New Roman"/>
        </w:rPr>
        <w:t xml:space="preserve"> Universidad de Chile</w:t>
      </w:r>
    </w:p>
    <w:p w:rsidR="00641457" w:rsidRPr="00CD6480" w:rsidRDefault="00B52921" w:rsidP="00CD64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6480">
        <w:rPr>
          <w:rStyle w:val="Textoennegrita"/>
          <w:sz w:val="22"/>
          <w:szCs w:val="22"/>
        </w:rPr>
        <w:t xml:space="preserve">Introducción: </w:t>
      </w:r>
      <w:r w:rsidRPr="00CD6480">
        <w:rPr>
          <w:sz w:val="22"/>
          <w:szCs w:val="22"/>
        </w:rPr>
        <w:t xml:space="preserve">La Injuria Renal Aguda (AKI) es frecuente en Unidades de Pacientes Críticos (UPC), especialmente en pacientes con </w:t>
      </w:r>
      <w:proofErr w:type="spellStart"/>
      <w:r w:rsidRPr="00CD6480">
        <w:rPr>
          <w:sz w:val="22"/>
          <w:szCs w:val="22"/>
        </w:rPr>
        <w:t>sepsis</w:t>
      </w:r>
      <w:proofErr w:type="spellEnd"/>
      <w:r w:rsidRPr="00CD6480">
        <w:rPr>
          <w:sz w:val="22"/>
          <w:szCs w:val="22"/>
        </w:rPr>
        <w:t>, asociada a alta morbimortalidad a corto y largo plazo, incluyendo enfermedad renal crónica (ERC). Se ha descrito que niveles plasmáticos de</w:t>
      </w:r>
      <w:r w:rsidR="005B5F67">
        <w:rPr>
          <w:sz w:val="22"/>
          <w:szCs w:val="22"/>
        </w:rPr>
        <w:t>l Factor de Crecimiento Fibroblá</w:t>
      </w:r>
      <w:r w:rsidRPr="00CD6480">
        <w:rPr>
          <w:sz w:val="22"/>
          <w:szCs w:val="22"/>
        </w:rPr>
        <w:t>stico 23 (FGF23) aumentan en pacientes con AKI. Datos recientes sugieren que FGF23 aumenta por alza de la síntesis/secreción en la médula ósea, modulado por Eritropoyetina (EPO) y Klotho, proporcional a la severidad del daño renal.</w:t>
      </w:r>
    </w:p>
    <w:p w:rsidR="00641457" w:rsidRPr="00CD6480" w:rsidRDefault="00B52921" w:rsidP="00CD64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6480">
        <w:rPr>
          <w:rStyle w:val="Textoennegrita"/>
          <w:sz w:val="22"/>
          <w:szCs w:val="22"/>
        </w:rPr>
        <w:t>Objetivo:</w:t>
      </w:r>
      <w:r w:rsidRPr="00CD6480">
        <w:rPr>
          <w:sz w:val="22"/>
          <w:szCs w:val="22"/>
        </w:rPr>
        <w:t xml:space="preserve"> Determinar si un biomarcador combinado que incluye FGF23, EPO y Klotho plasmático predice el desarrollo de morbimortalidad a corto y largo plazo, en pacientes críticos con </w:t>
      </w:r>
      <w:proofErr w:type="spellStart"/>
      <w:r w:rsidRPr="00CD6480">
        <w:rPr>
          <w:sz w:val="22"/>
          <w:szCs w:val="22"/>
        </w:rPr>
        <w:t>sepsis</w:t>
      </w:r>
      <w:proofErr w:type="spellEnd"/>
      <w:r w:rsidRPr="00CD6480">
        <w:rPr>
          <w:sz w:val="22"/>
          <w:szCs w:val="22"/>
        </w:rPr>
        <w:t>.</w:t>
      </w:r>
    </w:p>
    <w:p w:rsidR="00641457" w:rsidRPr="00CD6480" w:rsidRDefault="00B52921" w:rsidP="00CD64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6480">
        <w:rPr>
          <w:rStyle w:val="Textoennegrita"/>
          <w:sz w:val="22"/>
          <w:szCs w:val="22"/>
        </w:rPr>
        <w:t>Pacientes y métodos:</w:t>
      </w:r>
      <w:r w:rsidRPr="00CD6480">
        <w:rPr>
          <w:sz w:val="22"/>
          <w:szCs w:val="22"/>
        </w:rPr>
        <w:t xml:space="preserve"> Cohorte prospectiva de pacientes adultos ingresados a UPC con </w:t>
      </w:r>
      <w:proofErr w:type="spellStart"/>
      <w:r w:rsidRPr="00CD6480">
        <w:rPr>
          <w:sz w:val="22"/>
          <w:szCs w:val="22"/>
        </w:rPr>
        <w:t>sepsis</w:t>
      </w:r>
      <w:proofErr w:type="spellEnd"/>
      <w:r w:rsidRPr="00CD6480">
        <w:rPr>
          <w:sz w:val="22"/>
          <w:szCs w:val="22"/>
        </w:rPr>
        <w:t xml:space="preserve"> severa / shock séptico y función renal normal previo al ingreso. Se determinaron FGF23, Klotho y EPO plasmáticos al ingreso, más parámetros clínicos y bioquímicos. Se evaluaron </w:t>
      </w:r>
      <w:r w:rsidRPr="00CD6480">
        <w:rPr>
          <w:rStyle w:val="nfasis"/>
          <w:sz w:val="22"/>
          <w:szCs w:val="22"/>
        </w:rPr>
        <w:t>outcomes</w:t>
      </w:r>
      <w:r w:rsidRPr="00CD6480">
        <w:rPr>
          <w:sz w:val="22"/>
          <w:szCs w:val="22"/>
        </w:rPr>
        <w:t xml:space="preserve"> de corto plazo (uso de terapia de reemplazo renal, drogas vasoactivas y letalidad a 30 días) y largo plazo (letalidad a 6 meses y 1 año, más desarrollo de ERC). Los </w:t>
      </w:r>
      <w:r w:rsidRPr="00CD6480">
        <w:rPr>
          <w:rStyle w:val="nfasis"/>
          <w:sz w:val="22"/>
          <w:szCs w:val="22"/>
        </w:rPr>
        <w:t>outcomes</w:t>
      </w:r>
      <w:r w:rsidRPr="00CD6480">
        <w:rPr>
          <w:sz w:val="22"/>
          <w:szCs w:val="22"/>
        </w:rPr>
        <w:t xml:space="preserve"> se evaluaron mediante prueba proporcional de Cox, curvas de </w:t>
      </w:r>
      <w:proofErr w:type="spellStart"/>
      <w:r w:rsidRPr="00CD6480">
        <w:rPr>
          <w:sz w:val="22"/>
          <w:szCs w:val="22"/>
        </w:rPr>
        <w:t>Kaplan</w:t>
      </w:r>
      <w:proofErr w:type="spellEnd"/>
      <w:r w:rsidRPr="00CD6480">
        <w:rPr>
          <w:sz w:val="22"/>
          <w:szCs w:val="22"/>
        </w:rPr>
        <w:t xml:space="preserve"> </w:t>
      </w:r>
      <w:proofErr w:type="spellStart"/>
      <w:r w:rsidRPr="00CD6480">
        <w:rPr>
          <w:sz w:val="22"/>
          <w:szCs w:val="22"/>
        </w:rPr>
        <w:t>Meier</w:t>
      </w:r>
      <w:proofErr w:type="spellEnd"/>
      <w:r w:rsidRPr="00CD6480">
        <w:rPr>
          <w:sz w:val="22"/>
          <w:szCs w:val="22"/>
        </w:rPr>
        <w:t xml:space="preserve"> y determinación de </w:t>
      </w:r>
      <w:proofErr w:type="spellStart"/>
      <w:r w:rsidRPr="00CD6480">
        <w:rPr>
          <w:sz w:val="22"/>
          <w:szCs w:val="22"/>
        </w:rPr>
        <w:t>Hazard</w:t>
      </w:r>
      <w:proofErr w:type="spellEnd"/>
      <w:r w:rsidRPr="00CD6480">
        <w:rPr>
          <w:sz w:val="22"/>
          <w:szCs w:val="22"/>
        </w:rPr>
        <w:t xml:space="preserve"> Ratios (HR). El estudio fue aprobado por el Comité de Ética institucional.</w:t>
      </w:r>
    </w:p>
    <w:p w:rsidR="00641457" w:rsidRPr="00CD6480" w:rsidRDefault="00B52921" w:rsidP="00CD64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6480">
        <w:rPr>
          <w:rStyle w:val="Textoennegrita"/>
          <w:sz w:val="22"/>
          <w:szCs w:val="22"/>
        </w:rPr>
        <w:t>Resultados:</w:t>
      </w:r>
      <w:r w:rsidRPr="00CD6480">
        <w:rPr>
          <w:sz w:val="22"/>
          <w:szCs w:val="22"/>
        </w:rPr>
        <w:t xml:space="preserve"> 698 pacientes con </w:t>
      </w:r>
      <w:proofErr w:type="spellStart"/>
      <w:r w:rsidRPr="00CD6480">
        <w:rPr>
          <w:sz w:val="22"/>
          <w:szCs w:val="22"/>
        </w:rPr>
        <w:t>sepsis</w:t>
      </w:r>
      <w:proofErr w:type="spellEnd"/>
      <w:r w:rsidRPr="00CD6480">
        <w:rPr>
          <w:sz w:val="22"/>
          <w:szCs w:val="22"/>
        </w:rPr>
        <w:t xml:space="preserve"> severa / shock séptico fueron admitidos entre 2013 y 2016. 588 fueron excluidos por ausencia de información renal previa o antecedentes de ERC. 110 pacientes ingresaron al estudio. Edad: 64,3 ± 8,4 años. Sexo masculino: 66 (60%) Pacientes con AKI al ingreso: 37 (Grupo 1). Pacientes que desarrollaron AKI en las primeras 48 horas: 34 (Grupo 2). Pacientes que no desarrollaron AKI: 39 (Grupo 3). En los grupos que desarrollaron AKI, los niveles de FGF23 y EPO fueron significativamente mayores respecto al grupo sin AKI, mientras que los niveles de Klotho fueron significativamente menores. El indicador combinado estaba aumentado en los pacientes con AKI (p&lt;0,0001 versus Grupo 3). La magnitud de incremento del indicador fue proporcional a la severidad del daño renal (AKI leve: 3x, AKI severo: 20x) y mostró una adecuada precisión diagnóstica, con un Área Bajo la Curva (AUC) de 0,91 [0,85-0,96]. Definiendo un punto de corte del indicador de 1,0 A.U., se observó que pacientes con valores mayores, tuvieron mayor mortalidad a 30 días (27% vs 7%, p=0,02, HR: 3,0), mortalidad a 1 año (43% vs 13%, p&lt;0,01, HR: 2,9) y desarrollo de ERC a 1 año (32% vs 8%, p=0,03, HR: 3,1).</w:t>
      </w:r>
    </w:p>
    <w:p w:rsidR="00641457" w:rsidRPr="00CD6480" w:rsidRDefault="00B52921" w:rsidP="00CD64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D6480">
        <w:rPr>
          <w:rStyle w:val="Textoennegrita"/>
          <w:sz w:val="22"/>
          <w:szCs w:val="22"/>
        </w:rPr>
        <w:t>Conclusiones:</w:t>
      </w:r>
      <w:r w:rsidRPr="00CD6480">
        <w:rPr>
          <w:sz w:val="22"/>
          <w:szCs w:val="22"/>
        </w:rPr>
        <w:t xml:space="preserve"> El biomarcador combinado predijo desarrollo de AKI en pacientes críticos con </w:t>
      </w:r>
      <w:proofErr w:type="spellStart"/>
      <w:r w:rsidRPr="00CD6480">
        <w:rPr>
          <w:sz w:val="22"/>
          <w:szCs w:val="22"/>
        </w:rPr>
        <w:t>sepsis</w:t>
      </w:r>
      <w:proofErr w:type="spellEnd"/>
      <w:r w:rsidRPr="00CD6480">
        <w:rPr>
          <w:sz w:val="22"/>
          <w:szCs w:val="22"/>
        </w:rPr>
        <w:t>, con alta precisión diagnóstica. Además, es predictor de morbimortalidad a corto y largo plazo, incluyendo mortalidad y desarrollo de ERC. Este nuevo biomarcador debe ser evaluado en estudios clínicos con mayor número de pacientes, para evaluar su potencial aplicación clínica en pacientes críticos.</w:t>
      </w:r>
    </w:p>
    <w:p w:rsidR="00CD6480" w:rsidRDefault="00B52921" w:rsidP="00CD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480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CD6480">
        <w:rPr>
          <w:rFonts w:ascii="Times New Roman" w:eastAsia="Times New Roman" w:hAnsi="Times New Roman" w:cs="Times New Roman"/>
        </w:rPr>
        <w:t xml:space="preserve">Instituto Milenio de Inmunología e Inmunoterapia P09-016-F, </w:t>
      </w:r>
    </w:p>
    <w:p w:rsidR="00B52921" w:rsidRPr="00CD6480" w:rsidRDefault="00B52921" w:rsidP="00CD64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480">
        <w:rPr>
          <w:rFonts w:ascii="Times New Roman" w:eastAsia="Times New Roman" w:hAnsi="Times New Roman" w:cs="Times New Roman"/>
        </w:rPr>
        <w:t xml:space="preserve">CONICYT/FONDECYT/Regular/Nº1130550, 1171869 </w:t>
      </w:r>
    </w:p>
    <w:sectPr w:rsidR="00B52921" w:rsidRPr="00CD6480" w:rsidSect="00641457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6AD0"/>
    <w:rsid w:val="00313E56"/>
    <w:rsid w:val="00555D2D"/>
    <w:rsid w:val="005B5F67"/>
    <w:rsid w:val="00641457"/>
    <w:rsid w:val="00656AD0"/>
    <w:rsid w:val="00B42BC4"/>
    <w:rsid w:val="00B52921"/>
    <w:rsid w:val="00BF7BB2"/>
    <w:rsid w:val="00CD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41457"/>
    <w:rPr>
      <w:b/>
      <w:bCs/>
    </w:rPr>
  </w:style>
  <w:style w:type="character" w:styleId="nfasis">
    <w:name w:val="Emphasis"/>
    <w:basedOn w:val="Fuentedeprrafopredeter"/>
    <w:uiPriority w:val="20"/>
    <w:qFormat/>
    <w:rsid w:val="006414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dcterms:created xsi:type="dcterms:W3CDTF">2018-08-07T21:22:00Z</dcterms:created>
  <dcterms:modified xsi:type="dcterms:W3CDTF">2018-09-30T02:28:00Z</dcterms:modified>
</cp:coreProperties>
</file>